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57E6" w14:textId="77777777" w:rsidR="00F2053A" w:rsidRPr="000D0D5F" w:rsidRDefault="00000000" w:rsidP="000D0D5F">
      <w:pPr>
        <w:spacing w:afterLines="120" w:after="288"/>
        <w:jc w:val="left"/>
        <w:rPr>
          <w:rFonts w:ascii="Lucida Sans Unicode" w:hAnsi="Lucida Sans Unicode" w:cs="Lucida Sans Unicode"/>
          <w:color w:val="0D0D0D" w:themeColor="text1" w:themeTint="F2"/>
          <w:sz w:val="20"/>
          <w:lang w:val="es-ES"/>
        </w:rPr>
      </w:pPr>
      <w:r w:rsidRPr="000D0D5F">
        <w:rPr>
          <w:rFonts w:ascii="Lucida Sans Unicode" w:hAnsi="Lucida Sans Unicode" w:cs="Lucida Sans Unicode"/>
          <w:color w:val="0D0D0D" w:themeColor="text1" w:themeTint="F2"/>
          <w:sz w:val="20"/>
          <w:lang w:val="es-ES"/>
        </w:rPr>
        <w:t xml:space="preserve">Ref. An3859 n2power </w:t>
      </w:r>
    </w:p>
    <w:p w14:paraId="5DFCCCD9" w14:textId="77777777" w:rsidR="00F2053A" w:rsidRPr="000D0D5F" w:rsidRDefault="00F2053A" w:rsidP="000D0D5F">
      <w:pPr>
        <w:spacing w:afterLines="120" w:after="288"/>
        <w:jc w:val="left"/>
        <w:rPr>
          <w:rFonts w:ascii="Lucida Sans Unicode" w:hAnsi="Lucida Sans Unicode" w:cs="Lucida Sans Unicode"/>
          <w:color w:val="0D0D0D" w:themeColor="text1" w:themeTint="F2"/>
          <w:sz w:val="20"/>
          <w:lang w:val="es-ES"/>
        </w:rPr>
      </w:pPr>
    </w:p>
    <w:p w14:paraId="464B86CF" w14:textId="77777777" w:rsidR="00F2053A" w:rsidRPr="000D0D5F" w:rsidRDefault="00000000" w:rsidP="000D0D5F">
      <w:pPr>
        <w:spacing w:afterLines="120" w:after="288"/>
        <w:jc w:val="left"/>
        <w:rPr>
          <w:rFonts w:ascii="Lucida Sans Unicode" w:hAnsi="Lucida Sans Unicode" w:cs="Lucida Sans Unicode"/>
          <w:color w:val="0D0D0D" w:themeColor="text1" w:themeTint="F2"/>
          <w:szCs w:val="24"/>
          <w:lang w:val="es-ES"/>
        </w:rPr>
      </w:pPr>
      <w:r w:rsidRPr="000D0D5F">
        <w:rPr>
          <w:rFonts w:ascii="Lucida Sans Unicode" w:hAnsi="Lucida Sans Unicode" w:cs="Lucida Sans Unicode"/>
          <w:b/>
          <w:color w:val="0D0D0D" w:themeColor="text1" w:themeTint="F2"/>
          <w:szCs w:val="24"/>
          <w:lang w:val="es-ES"/>
        </w:rPr>
        <w:t xml:space="preserve">Fuentes de alimentación AC-DC de hasta 750 W con alta eficiencia </w:t>
      </w:r>
    </w:p>
    <w:p w14:paraId="310183B2" w14:textId="5D13A9DA" w:rsidR="000D0D5F" w:rsidRPr="000D0D5F" w:rsidRDefault="000D0D5F" w:rsidP="000D0D5F">
      <w:pPr>
        <w:pStyle w:val="NormalWeb"/>
        <w:suppressAutoHyphens/>
        <w:spacing w:before="0" w:beforeAutospacing="0" w:afterLines="120" w:after="288" w:afterAutospacing="0"/>
        <w:rPr>
          <w:rFonts w:ascii="Lucida Sans Unicode" w:hAnsi="Lucida Sans Unicode" w:cs="Lucida Sans Unicode"/>
          <w:color w:val="0D0D0D" w:themeColor="text1" w:themeTint="F2"/>
        </w:rPr>
      </w:pPr>
      <w:r w:rsidRPr="000D0D5F">
        <w:rPr>
          <w:rStyle w:val="nfasis"/>
          <w:rFonts w:ascii="Lucida Sans Unicode" w:hAnsi="Lucida Sans Unicode" w:cs="Lucida Sans Unicode"/>
          <w:color w:val="0D0D0D" w:themeColor="text1" w:themeTint="F2"/>
        </w:rPr>
        <w:t>Las fuentes de alimentación de los modelos de la serie XL750, que ofrecen una elevada densidad de potencia, se pueden utilizar en entornos industriales, sistemas ITE y el sector del juego.</w:t>
      </w:r>
    </w:p>
    <w:p w14:paraId="22261E1B" w14:textId="2E22D097" w:rsidR="000D0D5F" w:rsidRPr="000D0D5F" w:rsidRDefault="000D0D5F" w:rsidP="000D0D5F">
      <w:pPr>
        <w:pStyle w:val="NormalWeb"/>
        <w:suppressAutoHyphens/>
        <w:spacing w:before="0" w:beforeAutospacing="0" w:afterLines="120" w:after="288" w:afterAutospacing="0"/>
        <w:jc w:val="both"/>
        <w:rPr>
          <w:rFonts w:ascii="Lucida Sans Unicode" w:hAnsi="Lucida Sans Unicode" w:cs="Lucida Sans Unicode"/>
          <w:color w:val="0D0D0D" w:themeColor="text1" w:themeTint="F2"/>
        </w:rPr>
      </w:pP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Hoy os traemos unas fuentes del fabricante </w:t>
      </w:r>
      <w:hyperlink r:id="rId6" w:tgtFrame="_blank" w:history="1">
        <w:r w:rsidRPr="000D0D5F">
          <w:rPr>
            <w:rStyle w:val="Hipervnculo"/>
            <w:rFonts w:ascii="Lucida Sans Unicode" w:hAnsi="Lucida Sans Unicode" w:cs="Lucida Sans Unicode"/>
            <w:b/>
            <w:bCs/>
            <w:color w:val="0D0D0D" w:themeColor="text1" w:themeTint="F2"/>
            <w:u w:val="none"/>
          </w:rPr>
          <w:t>N2Power</w:t>
        </w:r>
      </w:hyperlink>
      <w:r w:rsidRPr="000D0D5F">
        <w:rPr>
          <w:rFonts w:ascii="Lucida Sans Unicode" w:hAnsi="Lucida Sans Unicode" w:cs="Lucida Sans Unicode"/>
          <w:color w:val="0D0D0D" w:themeColor="text1" w:themeTint="F2"/>
        </w:rPr>
        <w:t>, división de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</w:t>
      </w:r>
      <w:proofErr w:type="spellStart"/>
      <w:r w:rsidRPr="000D0D5F">
        <w:rPr>
          <w:rFonts w:ascii="Lucida Sans Unicode" w:hAnsi="Lucida Sans Unicode" w:cs="Lucida Sans Unicode"/>
          <w:b/>
          <w:bCs/>
          <w:color w:val="0D0D0D" w:themeColor="text1" w:themeTint="F2"/>
        </w:rPr>
        <w:t>Qualstar</w:t>
      </w:r>
      <w:proofErr w:type="spellEnd"/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, 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y empresa representada en España y Portugal por </w:t>
      </w:r>
      <w:r w:rsidRPr="000D0D5F">
        <w:rPr>
          <w:rFonts w:ascii="Lucida Sans Unicode" w:hAnsi="Lucida Sans Unicode" w:cs="Lucida Sans Unicode"/>
          <w:b/>
          <w:color w:val="0D0D0D" w:themeColor="text1" w:themeTint="F2"/>
        </w:rPr>
        <w:t xml:space="preserve">Anatronic, S.A., 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que anuncia la disponibilidad de la serie </w:t>
      </w:r>
      <w:hyperlink r:id="rId7" w:tgtFrame="_blank" w:history="1">
        <w:r w:rsidRPr="000D0D5F">
          <w:rPr>
            <w:rStyle w:val="Hipervnculo"/>
            <w:rFonts w:ascii="Lucida Sans Unicode" w:hAnsi="Lucida Sans Unicode" w:cs="Lucida Sans Unicode"/>
            <w:color w:val="0D0D0D" w:themeColor="text1" w:themeTint="F2"/>
            <w:u w:val="none"/>
          </w:rPr>
          <w:t>XL750</w:t>
        </w:r>
      </w:hyperlink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de fuentes de alimentación AC-DC de </w:t>
      </w:r>
      <w:r w:rsidRPr="000D0D5F">
        <w:rPr>
          <w:rStyle w:val="Textoennegrita"/>
          <w:rFonts w:ascii="Lucida Sans Unicode" w:hAnsi="Lucida Sans Unicode" w:cs="Lucida Sans Unicode"/>
          <w:color w:val="0D0D0D" w:themeColor="text1" w:themeTint="F2"/>
        </w:rPr>
        <w:t>hasta 750 W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con una eficiencia de </w:t>
      </w:r>
      <w:r w:rsidRPr="000D0D5F">
        <w:rPr>
          <w:rStyle w:val="Textoennegrita"/>
          <w:rFonts w:ascii="Lucida Sans Unicode" w:hAnsi="Lucida Sans Unicode" w:cs="Lucida Sans Unicode"/>
          <w:color w:val="0D0D0D" w:themeColor="text1" w:themeTint="F2"/>
        </w:rPr>
        <w:t>hasta el 94 por ciento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y una función PFC por encima de 0,95 en un formato </w:t>
      </w:r>
      <w:r w:rsidRPr="000D0D5F">
        <w:rPr>
          <w:rStyle w:val="Textoennegrita"/>
          <w:rFonts w:ascii="Lucida Sans Unicode" w:hAnsi="Lucida Sans Unicode" w:cs="Lucida Sans Unicode"/>
          <w:i/>
          <w:iCs/>
          <w:color w:val="0D0D0D" w:themeColor="text1" w:themeTint="F2"/>
        </w:rPr>
        <w:t>U-</w:t>
      </w:r>
      <w:proofErr w:type="spellStart"/>
      <w:r w:rsidRPr="000D0D5F">
        <w:rPr>
          <w:rStyle w:val="Textoennegrita"/>
          <w:rFonts w:ascii="Lucida Sans Unicode" w:hAnsi="Lucida Sans Unicode" w:cs="Lucida Sans Unicode"/>
          <w:i/>
          <w:iCs/>
          <w:color w:val="0D0D0D" w:themeColor="text1" w:themeTint="F2"/>
        </w:rPr>
        <w:t>Frame</w:t>
      </w:r>
      <w:proofErr w:type="spellEnd"/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(4 x 7 x 1.85”) o U-</w:t>
      </w:r>
      <w:proofErr w:type="spellStart"/>
      <w:r w:rsidRPr="000D0D5F">
        <w:rPr>
          <w:rFonts w:ascii="Lucida Sans Unicode" w:hAnsi="Lucida Sans Unicode" w:cs="Lucida Sans Unicode"/>
          <w:color w:val="0D0D0D" w:themeColor="text1" w:themeTint="F2"/>
        </w:rPr>
        <w:t>Frame</w:t>
      </w:r>
      <w:proofErr w:type="spellEnd"/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con </w:t>
      </w:r>
      <w:r w:rsidRPr="000D0D5F">
        <w:rPr>
          <w:rStyle w:val="Textoennegrita"/>
          <w:rFonts w:ascii="Lucida Sans Unicode" w:hAnsi="Lucida Sans Unicode" w:cs="Lucida Sans Unicode"/>
          <w:color w:val="0D0D0D" w:themeColor="text1" w:themeTint="F2"/>
        </w:rPr>
        <w:t>cubierta superior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(4 x 7 x 1.91”). </w:t>
      </w:r>
    </w:p>
    <w:p w14:paraId="2B5DAE81" w14:textId="77777777" w:rsidR="000D0D5F" w:rsidRPr="000D0D5F" w:rsidRDefault="000D0D5F" w:rsidP="000D0D5F">
      <w:pPr>
        <w:pStyle w:val="NormalWeb"/>
        <w:suppressAutoHyphens/>
        <w:spacing w:before="0" w:beforeAutospacing="0" w:afterLines="120" w:after="288" w:afterAutospacing="0"/>
        <w:jc w:val="both"/>
        <w:rPr>
          <w:rFonts w:ascii="Lucida Sans Unicode" w:hAnsi="Lucida Sans Unicode" w:cs="Lucida Sans Unicode"/>
          <w:color w:val="0D0D0D" w:themeColor="text1" w:themeTint="F2"/>
        </w:rPr>
      </w:pP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En comparación con otros modelos similares, las unidades </w:t>
      </w:r>
      <w:hyperlink r:id="rId8" w:tgtFrame="_blank" w:history="1">
        <w:r w:rsidRPr="000D0D5F">
          <w:rPr>
            <w:rStyle w:val="Hipervnculo"/>
            <w:rFonts w:ascii="Lucida Sans Unicode" w:hAnsi="Lucida Sans Unicode" w:cs="Lucida Sans Unicode"/>
            <w:color w:val="0D0D0D" w:themeColor="text1" w:themeTint="F2"/>
            <w:u w:val="none"/>
          </w:rPr>
          <w:t>XL750</w:t>
        </w:r>
      </w:hyperlink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ayudan a </w:t>
      </w:r>
      <w:r w:rsidRPr="000D0D5F">
        <w:rPr>
          <w:rStyle w:val="Textoennegrita"/>
          <w:rFonts w:ascii="Lucida Sans Unicode" w:hAnsi="Lucida Sans Unicode" w:cs="Lucida Sans Unicode"/>
          <w:color w:val="0D0D0D" w:themeColor="text1" w:themeTint="F2"/>
        </w:rPr>
        <w:t>disminuir las pérdidas de energía hasta un 50 por ciento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. Su tecnología avanzada permite proporcionar una de las mayores densidades de potencia de su clase en </w:t>
      </w:r>
      <w:r w:rsidRPr="000D0D5F">
        <w:rPr>
          <w:rStyle w:val="Textoennegrita"/>
          <w:rFonts w:ascii="Lucida Sans Unicode" w:hAnsi="Lucida Sans Unicode" w:cs="Lucida Sans Unicode"/>
          <w:color w:val="0D0D0D" w:themeColor="text1" w:themeTint="F2"/>
        </w:rPr>
        <w:t>entornos industriales, sistemas ITE y el sector del juego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. </w:t>
      </w:r>
    </w:p>
    <w:p w14:paraId="43FC4349" w14:textId="77777777" w:rsidR="000D0D5F" w:rsidRPr="000D0D5F" w:rsidRDefault="000D0D5F" w:rsidP="000D0D5F">
      <w:pPr>
        <w:pStyle w:val="NormalWeb"/>
        <w:suppressAutoHyphens/>
        <w:spacing w:before="0" w:beforeAutospacing="0" w:afterLines="120" w:after="288" w:afterAutospacing="0"/>
        <w:jc w:val="both"/>
        <w:rPr>
          <w:rFonts w:ascii="Lucida Sans Unicode" w:hAnsi="Lucida Sans Unicode" w:cs="Lucida Sans Unicode"/>
          <w:color w:val="0D0D0D" w:themeColor="text1" w:themeTint="F2"/>
        </w:rPr>
      </w:pP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Estos nuevos diseños </w:t>
      </w:r>
      <w:r w:rsidRPr="000D0D5F">
        <w:rPr>
          <w:rStyle w:val="Textoennegrita"/>
          <w:rFonts w:ascii="Lucida Sans Unicode" w:hAnsi="Lucida Sans Unicode" w:cs="Lucida Sans Unicode"/>
          <w:color w:val="0D0D0D" w:themeColor="text1" w:themeTint="F2"/>
        </w:rPr>
        <w:t>generan menos calor residual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, reduciendo así la necesidad de refrigeración por aire forzado y minimizando el consumo de energía. Esto se traduce en un aumento de la fiabilidad y una disminución de los costes (retorno rápido de la inversión). </w:t>
      </w:r>
    </w:p>
    <w:p w14:paraId="3FAE18BE" w14:textId="77777777" w:rsidR="000D0D5F" w:rsidRPr="000D0D5F" w:rsidRDefault="000D0D5F" w:rsidP="000D0D5F">
      <w:pPr>
        <w:pStyle w:val="NormalWeb"/>
        <w:suppressAutoHyphens/>
        <w:spacing w:before="0" w:beforeAutospacing="0" w:afterLines="120" w:after="288" w:afterAutospacing="0"/>
        <w:jc w:val="both"/>
        <w:rPr>
          <w:rFonts w:ascii="Lucida Sans Unicode" w:hAnsi="Lucida Sans Unicode" w:cs="Lucida Sans Unicode"/>
          <w:color w:val="0D0D0D" w:themeColor="text1" w:themeTint="F2"/>
        </w:rPr>
      </w:pP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La serie </w:t>
      </w:r>
      <w:hyperlink r:id="rId9" w:tgtFrame="_blank" w:history="1">
        <w:r w:rsidRPr="000D0D5F">
          <w:rPr>
            <w:rStyle w:val="Hipervnculo"/>
            <w:rFonts w:ascii="Lucida Sans Unicode" w:hAnsi="Lucida Sans Unicode" w:cs="Lucida Sans Unicode"/>
            <w:color w:val="0D0D0D" w:themeColor="text1" w:themeTint="F2"/>
            <w:u w:val="none"/>
          </w:rPr>
          <w:t>XL750</w:t>
        </w:r>
      </w:hyperlink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se caracteriza por una fuente auxiliar (de ventilación) de 12 V / 1 A, una interfaz I2C/</w:t>
      </w:r>
      <w:proofErr w:type="spellStart"/>
      <w:r w:rsidRPr="000D0D5F">
        <w:rPr>
          <w:rFonts w:ascii="Lucida Sans Unicode" w:hAnsi="Lucida Sans Unicode" w:cs="Lucida Sans Unicode"/>
          <w:color w:val="0D0D0D" w:themeColor="text1" w:themeTint="F2"/>
        </w:rPr>
        <w:t>PMBus</w:t>
      </w:r>
      <w:proofErr w:type="spellEnd"/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para tareas de gestión de potencia digital y una función de corriente compartida y un MOSFET OR-</w:t>
      </w:r>
      <w:proofErr w:type="spellStart"/>
      <w:r w:rsidRPr="000D0D5F">
        <w:rPr>
          <w:rFonts w:ascii="Lucida Sans Unicode" w:hAnsi="Lucida Sans Unicode" w:cs="Lucida Sans Unicode"/>
          <w:color w:val="0D0D0D" w:themeColor="text1" w:themeTint="F2"/>
        </w:rPr>
        <w:t>ing</w:t>
      </w:r>
      <w:proofErr w:type="spellEnd"/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para N y N+1. </w:t>
      </w:r>
    </w:p>
    <w:p w14:paraId="14F806F8" w14:textId="77777777" w:rsidR="000D0D5F" w:rsidRPr="000D0D5F" w:rsidRDefault="000D0D5F" w:rsidP="000D0D5F">
      <w:pPr>
        <w:pStyle w:val="NormalWeb"/>
        <w:suppressAutoHyphens/>
        <w:spacing w:before="0" w:beforeAutospacing="0" w:afterLines="120" w:after="288" w:afterAutospacing="0"/>
        <w:jc w:val="both"/>
        <w:rPr>
          <w:rFonts w:ascii="Lucida Sans Unicode" w:hAnsi="Lucida Sans Unicode" w:cs="Lucida Sans Unicode"/>
          <w:color w:val="0D0D0D" w:themeColor="text1" w:themeTint="F2"/>
        </w:rPr>
      </w:pPr>
      <w:r w:rsidRPr="000D0D5F">
        <w:rPr>
          <w:rFonts w:ascii="Lucida Sans Unicode" w:hAnsi="Lucida Sans Unicode" w:cs="Lucida Sans Unicode"/>
          <w:color w:val="0D0D0D" w:themeColor="text1" w:themeTint="F2"/>
        </w:rPr>
        <w:lastRenderedPageBreak/>
        <w:t xml:space="preserve">También se distingue por una tensión de entrada de 90 a 264 VAC, una tensión de salida de 12 a 56 V, un rango de temperatura operativa de </w:t>
      </w:r>
      <w:r w:rsidRPr="000D0D5F">
        <w:rPr>
          <w:rStyle w:val="Textoennegrita"/>
          <w:rFonts w:ascii="Lucida Sans Unicode" w:hAnsi="Lucida Sans Unicode" w:cs="Lucida Sans Unicode"/>
          <w:color w:val="0D0D0D" w:themeColor="text1" w:themeTint="F2"/>
        </w:rPr>
        <w:t>-30 a +70 °C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y un MTBF de 250.000 horas (</w:t>
      </w:r>
      <w:r w:rsidRPr="000D0D5F">
        <w:rPr>
          <w:rStyle w:val="Textoennegrita"/>
          <w:rFonts w:ascii="Lucida Sans Unicode" w:hAnsi="Lucida Sans Unicode" w:cs="Lucida Sans Unicode"/>
          <w:color w:val="0D0D0D" w:themeColor="text1" w:themeTint="F2"/>
        </w:rPr>
        <w:t>MIL-HDBk-217F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– TBC), así como por tres años de garantía. </w:t>
      </w:r>
    </w:p>
    <w:p w14:paraId="0A3018B0" w14:textId="77777777" w:rsidR="000D0D5F" w:rsidRPr="000D0D5F" w:rsidRDefault="000D0D5F" w:rsidP="000D0D5F">
      <w:pPr>
        <w:pStyle w:val="NormalWeb"/>
        <w:suppressAutoHyphens/>
        <w:spacing w:before="0" w:beforeAutospacing="0" w:afterLines="120" w:after="288" w:afterAutospacing="0"/>
        <w:jc w:val="both"/>
        <w:rPr>
          <w:rFonts w:ascii="Lucida Sans Unicode" w:hAnsi="Lucida Sans Unicode" w:cs="Lucida Sans Unicode"/>
          <w:color w:val="0D0D0D" w:themeColor="text1" w:themeTint="F2"/>
        </w:rPr>
      </w:pP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Cumpliendo los estándares de seguridad UL/IEC/EN 62368, las unidades </w:t>
      </w:r>
      <w:hyperlink r:id="rId10" w:tgtFrame="_blank" w:history="1">
        <w:r w:rsidRPr="000D0D5F">
          <w:rPr>
            <w:rStyle w:val="Hipervnculo"/>
            <w:rFonts w:ascii="Lucida Sans Unicode" w:hAnsi="Lucida Sans Unicode" w:cs="Lucida Sans Unicode"/>
            <w:color w:val="0D0D0D" w:themeColor="text1" w:themeTint="F2"/>
            <w:u w:val="none"/>
          </w:rPr>
          <w:t>XL750</w:t>
        </w:r>
      </w:hyperlink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 ofrecen una salida de </w:t>
      </w:r>
      <w:r w:rsidRPr="000D0D5F">
        <w:rPr>
          <w:rStyle w:val="Textoennegrita"/>
          <w:rFonts w:ascii="Lucida Sans Unicode" w:hAnsi="Lucida Sans Unicode" w:cs="Lucida Sans Unicode"/>
          <w:color w:val="0D0D0D" w:themeColor="text1" w:themeTint="F2"/>
        </w:rPr>
        <w:t>750 W con ventilación de 25 CFM o 300 W mediante refrigeración por convección</w:t>
      </w:r>
      <w:r w:rsidRPr="000D0D5F">
        <w:rPr>
          <w:rFonts w:ascii="Lucida Sans Unicode" w:hAnsi="Lucida Sans Unicode" w:cs="Lucida Sans Unicode"/>
          <w:color w:val="0D0D0D" w:themeColor="text1" w:themeTint="F2"/>
        </w:rPr>
        <w:t xml:space="preserve">. </w:t>
      </w:r>
    </w:p>
    <w:p w14:paraId="035F3975" w14:textId="7C704E9A" w:rsidR="000D0D5F" w:rsidRPr="000D0D5F" w:rsidRDefault="000D0D5F" w:rsidP="000D0D5F">
      <w:pPr>
        <w:pStyle w:val="NormalWeb"/>
        <w:suppressAutoHyphens/>
        <w:spacing w:before="0" w:beforeAutospacing="0" w:afterLines="120" w:after="288" w:afterAutospacing="0"/>
        <w:jc w:val="both"/>
        <w:rPr>
          <w:rFonts w:ascii="Lucida Sans Unicode" w:hAnsi="Lucida Sans Unicode" w:cs="Lucida Sans Unicode"/>
          <w:b/>
          <w:color w:val="0D0D0D" w:themeColor="text1" w:themeTint="F2"/>
        </w:rPr>
      </w:pPr>
      <w:hyperlink r:id="rId11" w:tgtFrame="_blank" w:history="1">
        <w:r w:rsidRPr="000D0D5F">
          <w:rPr>
            <w:rStyle w:val="Hipervnculo"/>
            <w:rFonts w:ascii="Lucida Sans Unicode" w:hAnsi="Lucida Sans Unicode" w:cs="Lucida Sans Unicode"/>
            <w:color w:val="0D0D0D" w:themeColor="text1" w:themeTint="F2"/>
            <w:u w:val="none"/>
          </w:rPr>
          <w:t>Si deseas recibir más información acerca de las fuentes de alimentación AC-DC de hasta 750 W con alta eficiencia, haz clic aquí.</w:t>
        </w:r>
      </w:hyperlink>
    </w:p>
    <w:sectPr w:rsidR="000D0D5F" w:rsidRPr="000D0D5F">
      <w:headerReference w:type="default" r:id="rId12"/>
      <w:footerReference w:type="default" r:id="rId13"/>
      <w:pgSz w:w="11906" w:h="16838"/>
      <w:pgMar w:top="3261" w:right="1701" w:bottom="1701" w:left="1701" w:header="720" w:footer="38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01E6" w14:textId="77777777" w:rsidR="003E20D2" w:rsidRDefault="003E20D2">
      <w:pPr>
        <w:spacing w:after="0"/>
      </w:pPr>
      <w:r>
        <w:separator/>
      </w:r>
    </w:p>
  </w:endnote>
  <w:endnote w:type="continuationSeparator" w:id="0">
    <w:p w14:paraId="2F874017" w14:textId="77777777" w:rsidR="003E20D2" w:rsidRDefault="003E20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Condensed">
    <w:altName w:val="Univers Condensed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8F09" w14:textId="77777777" w:rsidR="00F2053A" w:rsidRDefault="00000000">
    <w:pPr>
      <w:pStyle w:val="Piedepgina"/>
      <w:pBdr>
        <w:top w:val="single" w:sz="6" w:space="1" w:color="000000"/>
      </w:pBdr>
      <w:tabs>
        <w:tab w:val="clear" w:pos="4252"/>
        <w:tab w:val="left" w:pos="1985"/>
        <w:tab w:val="left" w:pos="3969"/>
        <w:tab w:val="left" w:pos="5954"/>
      </w:tabs>
      <w:spacing w:after="0"/>
      <w:jc w:val="center"/>
      <w:rPr>
        <w:rFonts w:ascii="Univers Condensed" w:hAnsi="Univers Condensed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635" distL="0" distR="0" simplePos="0" relativeHeight="4" behindDoc="0" locked="0" layoutInCell="0" allowOverlap="1" wp14:anchorId="27A0DC2E" wp14:editId="612B92C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46990" cy="86360"/>
              <wp:effectExtent l="0" t="0" r="0" b="0"/>
              <wp:wrapSquare wrapText="bothSides"/>
              <wp:docPr id="2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8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AB8964" w14:textId="77777777" w:rsidR="00F2053A" w:rsidRDefault="00000000">
                          <w:pPr>
                            <w:pStyle w:val="Piedepgina"/>
                            <w:rPr>
                              <w:rStyle w:val="Nmerodepgi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Style w:val="Nmerodepgina"/>
                              <w:color w:val="00000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7A0DC2E" id="Marco1" o:spid="_x0000_s1026" style="position:absolute;left:0;text-align:left;margin-left:-47.5pt;margin-top:.05pt;width:3.7pt;height:6.8pt;z-index:4;visibility:visible;mso-wrap-style:square;mso-wrap-distance-left:0;mso-wrap-distance-top:0;mso-wrap-distance-right:0;mso-wrap-distance-bottom:.0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" o:allowincell="f" filled="f" stroked="f" strokeweight="0">
              <v:textbox style="mso-fit-shape-to-text:t" inset="0,0,0,0">
                <w:txbxContent>
                  <w:p w14:paraId="5FAB8964" w14:textId="77777777" w:rsidR="00F2053A" w:rsidRDefault="00000000">
                    <w:pPr>
                      <w:pStyle w:val="Piedepgina"/>
                      <w:rPr>
                        <w:rStyle w:val="Nmerodepgina"/>
                        <w:sz w:val="12"/>
                        <w:szCs w:val="12"/>
                      </w:rPr>
                    </w:pPr>
                    <w:r>
                      <w:rPr>
                        <w:rStyle w:val="Nmerodepgina"/>
                        <w:color w:val="000000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  <w:sz w:val="12"/>
                        <w:szCs w:val="12"/>
                      </w:rPr>
                      <w:t>2</w:t>
                    </w:r>
                    <w:r>
                      <w:rPr>
                        <w:rStyle w:val="Nmerodepgina"/>
                        <w:color w:val="000000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Univers Condensed" w:hAnsi="Univers Condensed"/>
        <w:b/>
        <w:color w:val="000000"/>
        <w:sz w:val="18"/>
        <w:szCs w:val="18"/>
      </w:rPr>
      <w:t>Madrid</w:t>
    </w:r>
    <w:r>
      <w:rPr>
        <w:rFonts w:ascii="Univers Condensed" w:hAnsi="Univers Condensed"/>
        <w:b/>
        <w:color w:val="000000"/>
        <w:sz w:val="18"/>
        <w:szCs w:val="18"/>
      </w:rPr>
      <w:tab/>
      <w:t>Barcelona</w:t>
    </w:r>
    <w:r>
      <w:rPr>
        <w:rFonts w:ascii="Univers Condensed" w:hAnsi="Univers Condensed"/>
        <w:b/>
        <w:color w:val="000000"/>
        <w:sz w:val="18"/>
        <w:szCs w:val="18"/>
      </w:rPr>
      <w:tab/>
      <w:t>Bilbao</w:t>
    </w:r>
    <w:r>
      <w:rPr>
        <w:rFonts w:ascii="Univers Condensed" w:hAnsi="Univers Condensed"/>
        <w:b/>
        <w:color w:val="000000"/>
        <w:sz w:val="18"/>
        <w:szCs w:val="18"/>
      </w:rPr>
      <w:tab/>
      <w:t>Portugal</w:t>
    </w:r>
    <w:r>
      <w:rPr>
        <w:rFonts w:ascii="Univers Condensed" w:hAnsi="Univers Condensed"/>
        <w:color w:val="000000"/>
        <w:sz w:val="18"/>
        <w:szCs w:val="18"/>
      </w:rPr>
      <w:br/>
      <w:t>Tel: 913660159</w:t>
    </w:r>
    <w:r>
      <w:rPr>
        <w:rFonts w:ascii="Univers Condensed" w:hAnsi="Univers Condensed"/>
        <w:color w:val="000000"/>
        <w:sz w:val="18"/>
        <w:szCs w:val="18"/>
      </w:rPr>
      <w:tab/>
      <w:t>Tel: 932240283</w:t>
    </w:r>
    <w:r>
      <w:rPr>
        <w:rFonts w:ascii="Univers Condensed" w:hAnsi="Univers Condensed"/>
        <w:color w:val="000000"/>
        <w:sz w:val="18"/>
        <w:szCs w:val="18"/>
      </w:rPr>
      <w:tab/>
      <w:t>Tel: 944636066</w:t>
    </w:r>
    <w:r>
      <w:rPr>
        <w:rFonts w:ascii="Univers Condensed" w:hAnsi="Univers Condensed"/>
        <w:color w:val="000000"/>
        <w:sz w:val="18"/>
        <w:szCs w:val="18"/>
      </w:rPr>
      <w:tab/>
      <w:t>Tel: 019376267</w:t>
    </w:r>
    <w:r>
      <w:rPr>
        <w:rFonts w:ascii="Univers Condensed" w:hAnsi="Univers Condensed"/>
        <w:color w:val="000000"/>
        <w:sz w:val="18"/>
        <w:szCs w:val="18"/>
      </w:rPr>
      <w:br/>
      <w:t xml:space="preserve">www.anatronic.com - </w:t>
    </w:r>
    <w:hyperlink r:id="rId1">
      <w:r>
        <w:rPr>
          <w:rStyle w:val="Hipervnculo1"/>
          <w:rFonts w:ascii="Univers Condensed" w:hAnsi="Univers Condensed"/>
          <w:color w:val="000000"/>
          <w:sz w:val="18"/>
          <w:szCs w:val="18"/>
          <w:u w:val="none"/>
        </w:rPr>
        <w:t>info@anatronic.com</w:t>
      </w:r>
    </w:hyperlink>
    <w:r>
      <w:rPr>
        <w:rFonts w:ascii="Univers Condensed" w:hAnsi="Univers Condensed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0BF5" w14:textId="77777777" w:rsidR="003E20D2" w:rsidRDefault="003E20D2">
      <w:pPr>
        <w:spacing w:after="0"/>
      </w:pPr>
      <w:r>
        <w:separator/>
      </w:r>
    </w:p>
  </w:footnote>
  <w:footnote w:type="continuationSeparator" w:id="0">
    <w:p w14:paraId="4933A8D5" w14:textId="77777777" w:rsidR="003E20D2" w:rsidRDefault="003E20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6ABB" w14:textId="77777777" w:rsidR="00F2053A" w:rsidRDefault="00000000">
    <w:pPr>
      <w:tabs>
        <w:tab w:val="left" w:pos="1608"/>
      </w:tabs>
    </w:pPr>
    <w:r>
      <w:tab/>
    </w:r>
    <w:r>
      <w:rPr>
        <w:noProof/>
      </w:rPr>
      <w:drawing>
        <wp:inline distT="0" distB="0" distL="0" distR="0" wp14:anchorId="4399DF0C" wp14:editId="010E9619">
          <wp:extent cx="3286760" cy="543560"/>
          <wp:effectExtent l="0" t="0" r="0" b="0"/>
          <wp:docPr id="1" name="Imagen 4" descr="Anatro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Anatroni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76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1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3A"/>
    <w:rsid w:val="000C246F"/>
    <w:rsid w:val="000D0D5F"/>
    <w:rsid w:val="003E20D2"/>
    <w:rsid w:val="005E7F70"/>
    <w:rsid w:val="00670094"/>
    <w:rsid w:val="00F2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D771"/>
  <w15:docId w15:val="{7B879CD1-D0BB-4727-ABCB-4706B590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19"/>
    <w:pPr>
      <w:spacing w:after="12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qFormat/>
    <w:rsid w:val="00767519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Hipervnculo1">
    <w:name w:val="Hipervínculo1"/>
    <w:rsid w:val="00767519"/>
    <w:rPr>
      <w:color w:val="0000FF"/>
      <w:u w:val="single"/>
    </w:rPr>
  </w:style>
  <w:style w:type="character" w:styleId="Nmerodepgina">
    <w:name w:val="page number"/>
    <w:basedOn w:val="Fuentedeprrafopredeter"/>
    <w:qFormat/>
    <w:rsid w:val="00767519"/>
  </w:style>
  <w:style w:type="character" w:customStyle="1" w:styleId="EncabezadoCar">
    <w:name w:val="Encabezado Car"/>
    <w:basedOn w:val="Fuentedeprrafopredeter"/>
    <w:link w:val="Encabezado"/>
    <w:uiPriority w:val="99"/>
    <w:qFormat/>
    <w:rsid w:val="00767519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Caracteresdenotaalpie">
    <w:name w:val="Caracteres de nota al pie"/>
    <w:qFormat/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rsid w:val="0076751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rsid w:val="00767519"/>
    <w:pPr>
      <w:tabs>
        <w:tab w:val="center" w:pos="4252"/>
        <w:tab w:val="right" w:pos="8504"/>
      </w:tabs>
      <w:spacing w:after="0"/>
    </w:p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uiPriority w:val="99"/>
    <w:unhideWhenUsed/>
    <w:rsid w:val="000D0D5F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0D0D5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D0D5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D0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2power.com/product/xl750-ac-dc-series-750-watt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2power.com/product/xl750-ac-dc-series-750-watt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atronic.com/componentes-electromecanicos/" TargetMode="External"/><Relationship Id="rId11" Type="http://schemas.openxmlformats.org/officeDocument/2006/relationships/hyperlink" Target="https://n2power.com/product/xl750-ac-dc-series-750-watt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n2power.com/product/xl750-ac-dc-series-750-wat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2power.com/product/xl750-ac-dc-series-750-wat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atron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BRIX</dc:creator>
  <dc:description/>
  <cp:lastModifiedBy>T C</cp:lastModifiedBy>
  <cp:revision>28</cp:revision>
  <dcterms:created xsi:type="dcterms:W3CDTF">2020-01-13T08:08:00Z</dcterms:created>
  <dcterms:modified xsi:type="dcterms:W3CDTF">2022-12-01T07:19:00Z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